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企业如何开始一次AI搜索可见度诊断</w:t>
      </w:r>
    </w:p>
    <w:p>
      <w:r>
        <w:t xml:space="preserve">AI搜索可见度诊断的目标，是确认品牌在哪些问题中出现、如何被描述，以及信息来自哪些引用来源。</w:t>
      </w:r>
    </w:p>
    <w:p>
      <w:r>
        <w:drawing>
          <wp:inline distT="0" distB="0" distL="0" distR="0">
            <wp:extent cx="3048000" cy="3048000"/>
            <wp:effectExtent t="0" r="0" b="0" l="0"/>
            <wp:docPr id="1" name="test.png" descr="用于验证Word导入图片提取" title="智引未来测试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 xml:space="preserve">建立品牌事实基线</w:t>
      </w:r>
    </w:p>
    <w:p>
      <w:r>
        <w:t xml:space="preserve">先确认企业名称、业务定位、产品服务、联系方式和官方表达，避免不同内容入口相互矛盾。</w:t>
      </w:r>
    </w:p>
    <w:p>
      <w:pPr>
        <w:pStyle w:val="Heading2"/>
      </w:pPr>
      <w:r>
        <w:t xml:space="preserve">定义用户问题集合</w:t>
      </w:r>
    </w:p>
    <w:p>
      <w:r>
        <w:t xml:space="preserve">围绕认知、比较、验证和决策阶段整理问题，观察品牌和竞品在回答中的真实位置。</w:t>
      </w:r>
    </w:p>
    <w:p>
      <w:pPr>
        <w:pStyle w:val="Heading2"/>
      </w:pPr>
      <w:r>
        <w:t xml:space="preserve">记录引用与推荐语境</w:t>
      </w:r>
    </w:p>
    <w:p>
      <w:r>
        <w:t xml:space="preserve">不仅记录是否被提及，还要确认引用来源、描述准确性和推荐理由。</w:t>
      </w:r>
    </w:p>
    <w:p>
      <w:pPr>
        <w:pStyle w:val="Heading2"/>
      </w:pPr>
      <w:r>
        <w:t xml:space="preserve">形成可持续监测范围</w:t>
      </w:r>
    </w:p>
    <w:p>
      <w:r>
        <w:t xml:space="preserve">平台和回答会持续变化，因此诊断基线应能进入后续监测、优化与复盘。</w:t>
      </w:r>
    </w:p>
    <w:p>
      <w:r>
        <w:t xml:space="preserve">测试标记：ZHIYIN-PRODUCTION-IMPORT-20260811-WORD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aa261220333e7b016aba62020b091a692248be9b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2026-08-11T02:38:49.249Z</dcterms:created>
  <dcterms:modified xsi:type="dcterms:W3CDTF">2026-08-11T02:38:49.251Z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